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AF" w:rsidRDefault="00DC5C86">
      <w:r>
        <w:t xml:space="preserve">                                                                                                                      Sosnówka, dnia 12.01.2021r.</w:t>
      </w:r>
    </w:p>
    <w:p w:rsidR="00DC5C86" w:rsidRPr="00DC5C86" w:rsidRDefault="00DC5C86">
      <w:pPr>
        <w:rPr>
          <w:b/>
          <w:sz w:val="28"/>
          <w:szCs w:val="28"/>
        </w:rPr>
      </w:pPr>
    </w:p>
    <w:p w:rsidR="00DC5C86" w:rsidRDefault="00DC5C86">
      <w:pPr>
        <w:rPr>
          <w:b/>
          <w:sz w:val="28"/>
          <w:szCs w:val="28"/>
        </w:rPr>
      </w:pPr>
      <w:r w:rsidRPr="00DC5C86">
        <w:rPr>
          <w:b/>
          <w:sz w:val="28"/>
          <w:szCs w:val="28"/>
        </w:rPr>
        <w:t>Dotyczy informacji publicznej</w:t>
      </w:r>
    </w:p>
    <w:p w:rsidR="00DC5C86" w:rsidRDefault="00DC5C86">
      <w:pPr>
        <w:rPr>
          <w:b/>
          <w:sz w:val="28"/>
          <w:szCs w:val="28"/>
        </w:rPr>
      </w:pPr>
    </w:p>
    <w:p w:rsidR="00DC5C86" w:rsidRDefault="00DC5C86">
      <w:r>
        <w:t xml:space="preserve"> W nawiązaniu do wniosku z dnia 21.12.2020r. udzielam odpowiedzi:</w:t>
      </w:r>
    </w:p>
    <w:p w:rsidR="002D28FF" w:rsidRDefault="002D28FF" w:rsidP="002D28FF">
      <w:pPr>
        <w:pStyle w:val="Akapitzlist"/>
        <w:numPr>
          <w:ilvl w:val="0"/>
          <w:numId w:val="1"/>
        </w:numPr>
      </w:pPr>
      <w:r>
        <w:t>Na chwilę obecną w Urzędzie Gminy Sosnówka wszystkie programy posiadają wsparcie producenta.</w:t>
      </w:r>
    </w:p>
    <w:p w:rsidR="002D28FF" w:rsidRPr="00DE0B36" w:rsidRDefault="00DE0B36" w:rsidP="002D28FF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DE0B36">
        <w:rPr>
          <w:rFonts w:ascii="Calibri" w:hAnsi="Calibri"/>
          <w:spacing w:val="3"/>
        </w:rPr>
        <w:t>Pod</w:t>
      </w:r>
      <w:r w:rsidRPr="00DE0B36">
        <w:rPr>
          <w:rFonts w:ascii="Calibri" w:hAnsi="Calibri"/>
          <w:color w:val="000000" w:themeColor="text1"/>
          <w:spacing w:val="3"/>
        </w:rPr>
        <w:t>miot dysponuje Polityką Ochrony Danych Osobowych oraz Instrukcję Zarządzania Systemami Informatycznymi zawierającymi postanowienia par. 20 Rozporząd</w:t>
      </w:r>
      <w:r>
        <w:rPr>
          <w:rFonts w:ascii="Calibri" w:hAnsi="Calibri"/>
          <w:color w:val="000000" w:themeColor="text1"/>
          <w:spacing w:val="3"/>
        </w:rPr>
        <w:t>zenia w sprawie Krajowych Ram</w:t>
      </w:r>
      <w:r w:rsidRPr="00DE0B36">
        <w:rPr>
          <w:rFonts w:ascii="Calibri" w:hAnsi="Calibri"/>
          <w:color w:val="000000" w:themeColor="text1"/>
          <w:spacing w:val="3"/>
        </w:rPr>
        <w:t xml:space="preserve"> Interoperacyjności. Natomiast w naszej ocenie dokumentacja tworząca tzw. "Politykę Bezpieczeństwa Informacji" jest takim dokumentem, który nie powinien być udostępniony nawet w formie skrótowego zreferowania jej/jego treści.</w:t>
      </w:r>
    </w:p>
    <w:p w:rsidR="00DE0B36" w:rsidRPr="00DE0B36" w:rsidRDefault="00DE0B36" w:rsidP="002D28FF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rFonts w:ascii="Calibri" w:hAnsi="Calibri"/>
          <w:spacing w:val="3"/>
        </w:rPr>
        <w:t>Lipiec 2020r.</w:t>
      </w:r>
    </w:p>
    <w:p w:rsidR="00DE0B36" w:rsidRDefault="00DE0B36" w:rsidP="002D28FF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Urząd nie posiada bilateralnie sygnowanej umowy.</w:t>
      </w:r>
    </w:p>
    <w:p w:rsidR="00DE0B36" w:rsidRDefault="0080107F" w:rsidP="002D28FF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Łobacz Łukasz  </w:t>
      </w:r>
      <w:hyperlink r:id="rId5" w:history="1">
        <w:r w:rsidRPr="00C90427">
          <w:rPr>
            <w:rStyle w:val="Hipercze"/>
          </w:rPr>
          <w:t>informatyk@sosnowka.pl</w:t>
        </w:r>
      </w:hyperlink>
      <w:r>
        <w:rPr>
          <w:color w:val="000000" w:themeColor="text1"/>
        </w:rPr>
        <w:t xml:space="preserve">  tel. 83 379 30 03.</w:t>
      </w:r>
    </w:p>
    <w:p w:rsidR="0080107F" w:rsidRDefault="0080107F" w:rsidP="002D28FF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Administrator zapoznał się z raportem , zadania dotyczące urzędu zostały</w:t>
      </w:r>
      <w:r w:rsidR="000F54D6">
        <w:rPr>
          <w:color w:val="000000" w:themeColor="text1"/>
        </w:rPr>
        <w:t xml:space="preserve"> zrealizowane </w:t>
      </w:r>
      <w:r>
        <w:rPr>
          <w:color w:val="000000" w:themeColor="text1"/>
        </w:rPr>
        <w:t xml:space="preserve"> bądź są w trakcie realizacji.</w:t>
      </w:r>
    </w:p>
    <w:p w:rsidR="00FB37DB" w:rsidRPr="00FB37DB" w:rsidRDefault="00FB37DB" w:rsidP="00FB37DB">
      <w:pPr>
        <w:pStyle w:val="Akapitzlist"/>
        <w:numPr>
          <w:ilvl w:val="0"/>
          <w:numId w:val="1"/>
        </w:numPr>
        <w:ind w:right="540"/>
        <w:jc w:val="both"/>
        <w:rPr>
          <w:rFonts w:ascii="Calibri" w:hAnsi="Calibri"/>
        </w:rPr>
      </w:pPr>
      <w:r>
        <w:rPr>
          <w:rFonts w:ascii="Calibri" w:hAnsi="Calibri"/>
          <w:spacing w:val="3"/>
        </w:rPr>
        <w:t>IOD informował, a Administrator</w:t>
      </w:r>
      <w:r w:rsidRPr="00FB37DB">
        <w:rPr>
          <w:rFonts w:ascii="Calibri" w:hAnsi="Calibri"/>
          <w:spacing w:val="3"/>
        </w:rPr>
        <w:t xml:space="preserve"> posiada świadomość konieczności zawierania umów w przypadku powierzania danych osobowych zgodnie z obowiązkiem wynikającym z art. 28 RODO. Wzór umowy powierzenia jako projekt został opracowany w podmiocie przy wsparciu IOD, przy czym jest on dostosowywany do potrzeb konkretnego stanu faktycznego wiążącego się z koniecznością powierzenia przetwarzania danych osobowych</w:t>
      </w:r>
      <w:r>
        <w:rPr>
          <w:rFonts w:ascii="Calibri" w:hAnsi="Calibri"/>
          <w:spacing w:val="3"/>
        </w:rPr>
        <w:t>.</w:t>
      </w:r>
      <w:r w:rsidRPr="00FB37DB">
        <w:rPr>
          <w:rFonts w:ascii="Calibri" w:hAnsi="Calibri"/>
          <w:color w:val="FF0000"/>
          <w:spacing w:val="3"/>
        </w:rPr>
        <w:t xml:space="preserve"> </w:t>
      </w:r>
    </w:p>
    <w:p w:rsidR="00FB37DB" w:rsidRPr="00FB37DB" w:rsidRDefault="00FB37DB" w:rsidP="00FB37DB">
      <w:pPr>
        <w:pStyle w:val="Akapitzlist"/>
        <w:numPr>
          <w:ilvl w:val="0"/>
          <w:numId w:val="1"/>
        </w:numPr>
        <w:spacing w:after="120"/>
        <w:ind w:right="540"/>
        <w:jc w:val="both"/>
        <w:rPr>
          <w:rFonts w:ascii="Calibri" w:hAnsi="Calibri"/>
        </w:rPr>
      </w:pPr>
      <w:r w:rsidRPr="00FB37DB">
        <w:rPr>
          <w:rFonts w:ascii="Calibri" w:hAnsi="Calibri"/>
          <w:spacing w:val="3"/>
        </w:rPr>
        <w:t xml:space="preserve">Do IOD nie wpłynęły żadne żądania realizacji praw określonych w art. 15 – 21 RODO w roku 2020. </w:t>
      </w:r>
    </w:p>
    <w:p w:rsidR="000F54D6" w:rsidRDefault="002333E6" w:rsidP="002D28FF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Tak.</w:t>
      </w:r>
    </w:p>
    <w:p w:rsidR="00332FD1" w:rsidRDefault="00332FD1" w:rsidP="002D28FF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Nie</w:t>
      </w:r>
    </w:p>
    <w:p w:rsidR="00332FD1" w:rsidRPr="00332FD1" w:rsidRDefault="00332FD1" w:rsidP="00332FD1">
      <w:pPr>
        <w:pStyle w:val="Akapitzlist"/>
        <w:numPr>
          <w:ilvl w:val="0"/>
          <w:numId w:val="1"/>
        </w:numPr>
        <w:spacing w:after="120"/>
        <w:ind w:right="540"/>
        <w:jc w:val="both"/>
        <w:rPr>
          <w:rFonts w:ascii="Calibri" w:hAnsi="Calibri"/>
        </w:rPr>
      </w:pPr>
      <w:r w:rsidRPr="00332FD1">
        <w:rPr>
          <w:rFonts w:ascii="Calibri" w:hAnsi="Calibri"/>
          <w:spacing w:val="3"/>
        </w:rPr>
        <w:t>Regulacje dotyczące kontroli dostępu i uwierzytelniania dostępu do systemu informatycznego wykorzystywanego do przetwarzania danych osobowych stanowią cześć dokumentacji wewnętrznej podmiotu, poświęconej ochronie danych osobowych i zarządzania systemami informatycznymi, które były przygotowywane w konsultacji z IOD.</w:t>
      </w:r>
    </w:p>
    <w:p w:rsidR="00332FD1" w:rsidRDefault="00332FD1" w:rsidP="002D28FF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Tak</w:t>
      </w:r>
    </w:p>
    <w:p w:rsidR="00332FD1" w:rsidRPr="00332FD1" w:rsidRDefault="00CD002A" w:rsidP="00332FD1">
      <w:pPr>
        <w:pStyle w:val="Akapitzlist"/>
        <w:numPr>
          <w:ilvl w:val="0"/>
          <w:numId w:val="1"/>
        </w:numPr>
        <w:spacing w:after="120"/>
        <w:ind w:right="540"/>
        <w:jc w:val="both"/>
        <w:rPr>
          <w:rFonts w:ascii="Calibri" w:hAnsi="Calibri"/>
        </w:rPr>
      </w:pPr>
      <w:r>
        <w:rPr>
          <w:rFonts w:ascii="Calibri" w:hAnsi="Calibri"/>
          <w:spacing w:val="3"/>
        </w:rPr>
        <w:t>-</w:t>
      </w:r>
      <w:r w:rsidR="00332FD1" w:rsidRPr="00332FD1">
        <w:rPr>
          <w:rFonts w:ascii="Calibri" w:hAnsi="Calibri"/>
          <w:spacing w:val="3"/>
        </w:rPr>
        <w:t xml:space="preserve">dane osobowe IOD dostępne są pod linkiem: </w:t>
      </w:r>
    </w:p>
    <w:p w:rsidR="00332FD1" w:rsidRPr="00CD002A" w:rsidRDefault="00CD002A" w:rsidP="00CD002A">
      <w:pPr>
        <w:spacing w:after="120"/>
        <w:ind w:left="360" w:right="540"/>
        <w:jc w:val="both"/>
        <w:rPr>
          <w:rFonts w:ascii="Calibri" w:hAnsi="Calibri"/>
        </w:rPr>
      </w:pPr>
      <w:r>
        <w:rPr>
          <w:rFonts w:ascii="Calibri" w:hAnsi="Calibri"/>
          <w:color w:val="202124"/>
          <w:spacing w:val="3"/>
        </w:rPr>
        <w:t xml:space="preserve">         </w:t>
      </w:r>
      <w:hyperlink r:id="rId6" w:tgtFrame="_blank" w:history="1">
        <w:r w:rsidR="00332FD1" w:rsidRPr="00CD002A">
          <w:rPr>
            <w:rStyle w:val="Hipercze"/>
            <w:rFonts w:ascii="Calibri" w:hAnsi="Calibri"/>
            <w:spacing w:val="3"/>
          </w:rPr>
          <w:t>https://umzamosc.bip.lubelskie.pl/index.php?id=192</w:t>
        </w:r>
      </w:hyperlink>
    </w:p>
    <w:p w:rsidR="00CD002A" w:rsidRDefault="00CD002A" w:rsidP="00CD002A">
      <w:pPr>
        <w:spacing w:after="120" w:line="254" w:lineRule="atLeast"/>
        <w:ind w:right="540"/>
        <w:jc w:val="both"/>
        <w:rPr>
          <w:rFonts w:ascii="Calibri" w:hAnsi="Calibri"/>
          <w:spacing w:val="3"/>
        </w:rPr>
      </w:pPr>
      <w:r w:rsidRPr="00CD002A">
        <w:rPr>
          <w:rFonts w:ascii="Calibri" w:hAnsi="Calibri"/>
          <w:spacing w:val="3"/>
        </w:rPr>
        <w:t>- zakres czynności IOD reguluje zawarta umowa z podmiotem zewnętrznym, zawiadomienie PUODO o wyznaczeniu IOD zostało dokonane zgodnie z przepisami Ustawy z dnia 10 maja 2018 r. o ochronie danych osobowych (Dz. U. z 2019 r., poz. 1781), natomiast w podmiocie IOD został wyznaczony zarządzeniem wewnętrznym. </w:t>
      </w:r>
    </w:p>
    <w:p w:rsidR="00CD002A" w:rsidRDefault="00CD002A" w:rsidP="00CD002A">
      <w:pPr>
        <w:spacing w:after="120" w:line="254" w:lineRule="atLeast"/>
        <w:ind w:right="540"/>
        <w:jc w:val="both"/>
        <w:rPr>
          <w:rFonts w:ascii="Calibri" w:hAnsi="Calibri"/>
          <w:spacing w:val="3"/>
        </w:rPr>
      </w:pPr>
      <w:r>
        <w:rPr>
          <w:rFonts w:ascii="Calibri" w:hAnsi="Calibri"/>
          <w:spacing w:val="3"/>
        </w:rPr>
        <w:t xml:space="preserve">- </w:t>
      </w:r>
      <w:r w:rsidRPr="00CD002A">
        <w:rPr>
          <w:rFonts w:ascii="Calibri" w:hAnsi="Calibri"/>
          <w:spacing w:val="3"/>
        </w:rPr>
        <w:t>nie wykonuje innych czynności poza funkcją IOD</w:t>
      </w:r>
    </w:p>
    <w:p w:rsidR="00CD002A" w:rsidRDefault="00CD002A" w:rsidP="00CD002A">
      <w:pPr>
        <w:spacing w:after="120" w:line="254" w:lineRule="atLeast"/>
        <w:ind w:right="540"/>
        <w:jc w:val="both"/>
        <w:rPr>
          <w:rFonts w:ascii="Calibri" w:hAnsi="Calibri"/>
          <w:spacing w:val="3"/>
        </w:rPr>
      </w:pPr>
      <w:r w:rsidRPr="00CD002A">
        <w:rPr>
          <w:rFonts w:ascii="Calibri" w:hAnsi="Calibri"/>
          <w:spacing w:val="3"/>
        </w:rPr>
        <w:lastRenderedPageBreak/>
        <w:t xml:space="preserve">- IOD podnosi swoje kwalifikacje we własnym zakresie, gdyż funkcja ta wykonywana jest przez podmiot zewnętrzny nie będący pracownikiem zatrudnionym w podmiocie w oparciu o stosunek pracy. </w:t>
      </w:r>
    </w:p>
    <w:p w:rsidR="00CD002A" w:rsidRDefault="00CD002A" w:rsidP="00CD002A">
      <w:pPr>
        <w:spacing w:after="120" w:line="254" w:lineRule="atLeast"/>
        <w:ind w:right="540"/>
        <w:jc w:val="both"/>
        <w:rPr>
          <w:rFonts w:ascii="Calibri" w:hAnsi="Calibri"/>
          <w:spacing w:val="3"/>
        </w:rPr>
      </w:pPr>
      <w:r w:rsidRPr="00CD002A">
        <w:rPr>
          <w:rFonts w:ascii="Calibri" w:hAnsi="Calibri"/>
          <w:spacing w:val="3"/>
        </w:rPr>
        <w:t>- zadania IOD wykonywane są we współpracy z pracownikami podmiotu i nie jest tworzona dokumentacja w tym zakresie. IOD tworzy natomiast dokumentację lub dokonuje poprawy dokumentów znajdujących się w obiegu podmiotu mając na uwadze realizację zasad wynikających z art. 5 RODO.</w:t>
      </w:r>
    </w:p>
    <w:p w:rsidR="00CD002A" w:rsidRDefault="00CD002A" w:rsidP="00CD002A">
      <w:pPr>
        <w:spacing w:after="120" w:line="254" w:lineRule="atLeast"/>
        <w:ind w:right="540"/>
        <w:jc w:val="both"/>
        <w:rPr>
          <w:rFonts w:ascii="Calibri" w:hAnsi="Calibri"/>
          <w:spacing w:val="3"/>
        </w:rPr>
      </w:pPr>
      <w:r w:rsidRPr="00CD002A">
        <w:rPr>
          <w:rFonts w:ascii="Calibri" w:hAnsi="Calibri"/>
          <w:spacing w:val="3"/>
        </w:rPr>
        <w:t>- pracownicy podmiotu są przeszkoleni z zakresu ochrony danych osobowych. Ostatnie szkolenia miały miejsce w miesiącach wrzesień – grudzień 2020 r. za pomocą zdalnych środków komunikacji z uwagi na epidemię COVID – 19</w:t>
      </w:r>
    </w:p>
    <w:p w:rsidR="00CD002A" w:rsidRDefault="00CD002A" w:rsidP="00CD002A">
      <w:pPr>
        <w:spacing w:after="120" w:line="254" w:lineRule="atLeast"/>
        <w:ind w:right="540"/>
        <w:jc w:val="both"/>
        <w:rPr>
          <w:rFonts w:ascii="Calibri" w:hAnsi="Calibri"/>
          <w:spacing w:val="3"/>
        </w:rPr>
      </w:pPr>
      <w:r w:rsidRPr="00CD002A">
        <w:rPr>
          <w:rFonts w:ascii="Calibri" w:hAnsi="Calibri"/>
          <w:spacing w:val="3"/>
        </w:rPr>
        <w:t xml:space="preserve">- dokument jest wprowadzony i obowiązuje w podmiocie zgodnie z art. 30 ust. 1 RODO. </w:t>
      </w:r>
    </w:p>
    <w:p w:rsidR="00CD002A" w:rsidRDefault="00CD002A" w:rsidP="00CD002A">
      <w:pPr>
        <w:spacing w:after="120" w:line="254" w:lineRule="atLeast"/>
        <w:ind w:right="540"/>
        <w:jc w:val="both"/>
        <w:rPr>
          <w:rFonts w:ascii="Calibri" w:hAnsi="Calibri"/>
          <w:spacing w:val="3"/>
        </w:rPr>
      </w:pPr>
      <w:r w:rsidRPr="00CD002A">
        <w:rPr>
          <w:rFonts w:ascii="Calibri" w:hAnsi="Calibri"/>
          <w:spacing w:val="3"/>
        </w:rPr>
        <w:t>- dokument jest wprowadzony i obowiązuje w podmiocie zgodnie z art. 30 ust. 2 RODO.</w:t>
      </w:r>
    </w:p>
    <w:p w:rsidR="00CD002A" w:rsidRDefault="00CD002A" w:rsidP="00CD002A">
      <w:pPr>
        <w:spacing w:after="120" w:line="254" w:lineRule="atLeast"/>
        <w:ind w:right="540"/>
        <w:jc w:val="both"/>
        <w:rPr>
          <w:rFonts w:ascii="Calibri" w:hAnsi="Calibri"/>
          <w:spacing w:val="3"/>
        </w:rPr>
      </w:pPr>
      <w:r>
        <w:rPr>
          <w:rFonts w:ascii="Calibri" w:hAnsi="Calibri"/>
          <w:spacing w:val="3"/>
        </w:rPr>
        <w:t>-dokument z lipca 2020r.</w:t>
      </w:r>
    </w:p>
    <w:p w:rsidR="00BB4A23" w:rsidRPr="00BB4A23" w:rsidRDefault="00BB4A23" w:rsidP="00BB4A23">
      <w:pPr>
        <w:spacing w:after="120" w:line="254" w:lineRule="atLeast"/>
        <w:ind w:right="540"/>
        <w:jc w:val="both"/>
        <w:rPr>
          <w:rFonts w:ascii="Calibri" w:hAnsi="Calibri"/>
        </w:rPr>
      </w:pPr>
      <w:r>
        <w:rPr>
          <w:rFonts w:ascii="Calibri" w:hAnsi="Calibri"/>
          <w:spacing w:val="3"/>
        </w:rPr>
        <w:t xml:space="preserve">- </w:t>
      </w:r>
      <w:r w:rsidRPr="00BB4A23">
        <w:rPr>
          <w:rFonts w:ascii="Calibri" w:hAnsi="Calibri"/>
          <w:spacing w:val="3"/>
        </w:rPr>
        <w:t>obowiązek informacyjny realizowany jest zgodnie z zasadą wyrażoną w art. 13 ust. 1 RODO tj. podczas pozyskiwania danych osobowych oraz zgodnie z art. 61 § 5 KPA tj. organ administracji publicznej przekazuje informacje, o których mowa w art. 13 ust. 1 i 2 rozporządzenia 2016/679, przy pierwszej czynności skierowanej do strony, chyba że strona posiada te informacje, a ich zakres lub treść nie uległy zmianie.</w:t>
      </w:r>
    </w:p>
    <w:p w:rsidR="00BB4A23" w:rsidRDefault="00BB4A23" w:rsidP="00BB4A23">
      <w:pPr>
        <w:spacing w:after="120" w:line="254" w:lineRule="atLeast"/>
        <w:ind w:right="540"/>
        <w:jc w:val="both"/>
        <w:rPr>
          <w:rFonts w:ascii="Calibri" w:hAnsi="Calibri"/>
          <w:spacing w:val="3"/>
        </w:rPr>
      </w:pPr>
      <w:r w:rsidRPr="00BB4A23">
        <w:rPr>
          <w:rFonts w:ascii="Calibri" w:hAnsi="Calibri"/>
          <w:spacing w:val="3"/>
        </w:rPr>
        <w:t>Klauzule informacyjne tworzone są w zależności od stanu faktycznego sprawy – natomiast wypełniają one przesłanki art. 13 ust. 1 i 2 RODO.</w:t>
      </w:r>
    </w:p>
    <w:p w:rsidR="00BB4A23" w:rsidRDefault="00BB4A23" w:rsidP="00BB4A23">
      <w:pPr>
        <w:spacing w:after="120" w:line="254" w:lineRule="atLeast"/>
        <w:ind w:right="540"/>
        <w:jc w:val="both"/>
        <w:rPr>
          <w:rFonts w:ascii="Calibri" w:hAnsi="Calibri"/>
          <w:spacing w:val="3"/>
        </w:rPr>
      </w:pPr>
      <w:r w:rsidRPr="00BB4A23">
        <w:rPr>
          <w:rFonts w:ascii="Calibri" w:hAnsi="Calibri"/>
          <w:spacing w:val="3"/>
        </w:rPr>
        <w:t>- obowiązek informacyjny realizowany jest zgodnie z zasadą wyrażoną w art. 14 ust. 1 RODO tj. jeżeli danych osobowych nie pozyskano od osoby, której dane dotyczą. Sposób wykonywania jest różny w zależności od stanu faktycznego – informacja przesyłana może być do interesanta pocztą elektroniczną, pocztą tradycyjną lub przez określony czas zamieszczana na stronie podmiotowej BIP.</w:t>
      </w:r>
    </w:p>
    <w:p w:rsidR="00BB4A23" w:rsidRDefault="00BB4A23" w:rsidP="00BB4A23">
      <w:pPr>
        <w:spacing w:after="120" w:line="254" w:lineRule="atLeast"/>
        <w:ind w:right="540"/>
        <w:jc w:val="both"/>
        <w:rPr>
          <w:rFonts w:ascii="Calibri" w:hAnsi="Calibri"/>
          <w:spacing w:val="3"/>
        </w:rPr>
      </w:pPr>
      <w:r w:rsidRPr="00BB4A23">
        <w:rPr>
          <w:rFonts w:ascii="Calibri" w:hAnsi="Calibri"/>
          <w:spacing w:val="3"/>
        </w:rPr>
        <w:t>- w zależności od potrzeb sprawdzenia danego zakresu w podmiocie są wykonywane audyty dot. zgodności czynności wykonywanych w podmiocie z przepisami RODO. Zgodnie natomiast ze stanowiskiem Generalnego Inspektora Ochrony Danych Osobowych znajdującym się pod linkiem </w:t>
      </w:r>
      <w:hyperlink r:id="rId7" w:tgtFrame="_blank" w:history="1">
        <w:r w:rsidRPr="00BB4A23">
          <w:rPr>
            <w:rStyle w:val="Hipercze"/>
            <w:rFonts w:ascii="Calibri" w:hAnsi="Calibri"/>
            <w:color w:val="auto"/>
            <w:spacing w:val="3"/>
          </w:rPr>
          <w:t>https://www.giodo.gov.pl/pl/222/9906</w:t>
        </w:r>
      </w:hyperlink>
      <w:r w:rsidRPr="00BB4A23">
        <w:rPr>
          <w:rFonts w:ascii="Calibri" w:hAnsi="Calibri"/>
          <w:spacing w:val="3"/>
        </w:rPr>
        <w:t>), jako że dokumentacja ta służy wskazaniu środków bezpieczeństwa i procedur bezpiecznego przetwarzania informacji, w tym danych osobowych, nie podlega ona udostępnianiu podmiotom trzecim poza organami kontrolującymi.</w:t>
      </w:r>
    </w:p>
    <w:p w:rsidR="00BB4A23" w:rsidRDefault="00BB4A23" w:rsidP="00BB4A23">
      <w:pPr>
        <w:spacing w:after="120"/>
        <w:ind w:right="540"/>
        <w:jc w:val="both"/>
        <w:rPr>
          <w:rFonts w:ascii="Calibri" w:hAnsi="Calibri"/>
          <w:spacing w:val="3"/>
        </w:rPr>
      </w:pPr>
      <w:r>
        <w:rPr>
          <w:rFonts w:ascii="Calibri" w:hAnsi="Calibri"/>
          <w:spacing w:val="3"/>
        </w:rPr>
        <w:t xml:space="preserve">14. </w:t>
      </w:r>
      <w:r>
        <w:rPr>
          <w:rFonts w:ascii="Calibri" w:hAnsi="Calibri"/>
          <w:color w:val="FF0000"/>
          <w:spacing w:val="3"/>
        </w:rPr>
        <w:t> </w:t>
      </w:r>
      <w:r w:rsidRPr="00BB4A23">
        <w:rPr>
          <w:rFonts w:ascii="Calibri" w:hAnsi="Calibri"/>
          <w:spacing w:val="3"/>
        </w:rPr>
        <w:t xml:space="preserve"> Nie istnieje w podmiocie konflikt interesów w zakresie wykonywania funkcji przez IOD.</w:t>
      </w:r>
    </w:p>
    <w:p w:rsidR="00BB4A23" w:rsidRDefault="00BB4A23" w:rsidP="00BB4A23">
      <w:pPr>
        <w:spacing w:after="160"/>
        <w:ind w:right="540"/>
        <w:jc w:val="both"/>
        <w:rPr>
          <w:rFonts w:ascii="Calibri" w:hAnsi="Calibri"/>
          <w:spacing w:val="3"/>
        </w:rPr>
      </w:pPr>
      <w:r>
        <w:rPr>
          <w:rFonts w:ascii="Calibri" w:hAnsi="Calibri"/>
          <w:spacing w:val="3"/>
        </w:rPr>
        <w:t>15. Z</w:t>
      </w:r>
      <w:r w:rsidRPr="00BB4A23">
        <w:rPr>
          <w:rFonts w:ascii="Calibri" w:hAnsi="Calibri"/>
          <w:spacing w:val="3"/>
        </w:rPr>
        <w:t>adania IOD wykonywane są we współpracy z pracownikami podmiotu i nie jest tworzona dokumentacja w tym zakresie.</w:t>
      </w:r>
    </w:p>
    <w:p w:rsidR="00BB4A23" w:rsidRDefault="00BB4A23" w:rsidP="00BB4A23">
      <w:pPr>
        <w:spacing w:after="160"/>
        <w:ind w:right="540"/>
        <w:jc w:val="both"/>
        <w:rPr>
          <w:rFonts w:ascii="Calibri" w:hAnsi="Calibri"/>
          <w:spacing w:val="3"/>
        </w:rPr>
      </w:pPr>
      <w:r>
        <w:rPr>
          <w:rFonts w:ascii="Calibri" w:hAnsi="Calibri"/>
          <w:spacing w:val="3"/>
        </w:rPr>
        <w:t>16. S</w:t>
      </w:r>
      <w:r w:rsidRPr="00BB4A23">
        <w:rPr>
          <w:rFonts w:ascii="Calibri" w:hAnsi="Calibri"/>
          <w:spacing w:val="3"/>
        </w:rPr>
        <w:t>tanowisko UODO w przedstawionym zakresie jest znane podmiotowi i jest respektowane. Sposób wykonania realizacji obowiązku informacyjnego wywodzi się co do zasady z przepisów prawa i wraz z nimi został wskazany w odpowiedzi na</w:t>
      </w:r>
      <w:r w:rsidR="00F005CD">
        <w:rPr>
          <w:rFonts w:ascii="Calibri" w:hAnsi="Calibri"/>
          <w:spacing w:val="3"/>
        </w:rPr>
        <w:t xml:space="preserve"> pytania z punktu nr 13 - najczę</w:t>
      </w:r>
      <w:r w:rsidRPr="00BB4A23">
        <w:rPr>
          <w:rFonts w:ascii="Calibri" w:hAnsi="Calibri"/>
          <w:spacing w:val="3"/>
        </w:rPr>
        <w:t>ściej obowiązek realizowany jest poprzez dołączenie klauzul informacyjnych w związku z zawieraną umową z kontrahentem będącym spółką prawa handlowego.</w:t>
      </w:r>
    </w:p>
    <w:p w:rsidR="00F005CD" w:rsidRDefault="00F005CD" w:rsidP="00F005CD">
      <w:pPr>
        <w:spacing w:after="120"/>
        <w:ind w:right="540"/>
        <w:jc w:val="both"/>
        <w:rPr>
          <w:rFonts w:ascii="Calibri" w:hAnsi="Calibri"/>
          <w:spacing w:val="3"/>
        </w:rPr>
      </w:pPr>
      <w:r>
        <w:rPr>
          <w:rFonts w:ascii="Calibri" w:hAnsi="Calibri"/>
          <w:spacing w:val="3"/>
        </w:rPr>
        <w:t xml:space="preserve">17. </w:t>
      </w:r>
      <w:r>
        <w:rPr>
          <w:rFonts w:ascii="Calibri" w:hAnsi="Calibri"/>
          <w:color w:val="FF0000"/>
          <w:spacing w:val="3"/>
        </w:rPr>
        <w:t xml:space="preserve"> </w:t>
      </w:r>
      <w:r w:rsidRPr="00F005CD">
        <w:rPr>
          <w:rFonts w:ascii="Calibri" w:hAnsi="Calibri"/>
          <w:spacing w:val="3"/>
        </w:rPr>
        <w:t>Sposób wykonania realizacji obowiązku informacyjnego wywodzi się co do zasady z przepisów prawa i wraz z nimi został wskazany w odpowiedzi na pytania z punktu nr 13.</w:t>
      </w:r>
    </w:p>
    <w:p w:rsidR="00F005CD" w:rsidRDefault="00F005CD" w:rsidP="00F005CD">
      <w:pPr>
        <w:spacing w:after="160" w:line="254" w:lineRule="auto"/>
        <w:rPr>
          <w:rFonts w:ascii="Calibri" w:hAnsi="Calibri"/>
          <w:spacing w:val="3"/>
        </w:rPr>
      </w:pPr>
      <w:r>
        <w:rPr>
          <w:rFonts w:ascii="Calibri" w:hAnsi="Calibri"/>
          <w:spacing w:val="3"/>
        </w:rPr>
        <w:lastRenderedPageBreak/>
        <w:t>18</w:t>
      </w:r>
      <w:r w:rsidRPr="00F005CD">
        <w:rPr>
          <w:rFonts w:ascii="Calibri" w:hAnsi="Calibri"/>
          <w:spacing w:val="3"/>
        </w:rPr>
        <w:t xml:space="preserve">. </w:t>
      </w:r>
      <w:r>
        <w:rPr>
          <w:rFonts w:ascii="Calibri" w:hAnsi="Calibri"/>
          <w:spacing w:val="3"/>
        </w:rPr>
        <w:t xml:space="preserve"> Z</w:t>
      </w:r>
      <w:r w:rsidRPr="00F005CD">
        <w:rPr>
          <w:rFonts w:ascii="Calibri" w:hAnsi="Calibri"/>
          <w:spacing w:val="3"/>
        </w:rPr>
        <w:t>adania IOD wynikają z umowy zawartej z podmiotem zewnętrznym w zakresie pełnienia tejże funkcji, natomiast dokumentacja Polityki Ochrony Danych Osobowych zawiera m.in. treści dotyczące uczestnictwa IOD w czynnościach w niej uregulowanych. </w:t>
      </w:r>
    </w:p>
    <w:p w:rsidR="00CC5326" w:rsidRDefault="00CC5326" w:rsidP="00F005CD">
      <w:pPr>
        <w:spacing w:after="160" w:line="254" w:lineRule="auto"/>
        <w:rPr>
          <w:rFonts w:ascii="Calibri" w:hAnsi="Calibri"/>
          <w:spacing w:val="3"/>
        </w:rPr>
      </w:pPr>
    </w:p>
    <w:p w:rsidR="00CC5326" w:rsidRDefault="00CC5326" w:rsidP="00F005CD">
      <w:pPr>
        <w:spacing w:after="160" w:line="254" w:lineRule="auto"/>
        <w:rPr>
          <w:rFonts w:ascii="Calibri" w:hAnsi="Calibri"/>
          <w:spacing w:val="3"/>
        </w:rPr>
      </w:pPr>
      <w:r>
        <w:rPr>
          <w:rFonts w:ascii="Calibri" w:hAnsi="Calibri"/>
          <w:spacing w:val="3"/>
        </w:rPr>
        <w:t>Pozdrawiam</w:t>
      </w:r>
    </w:p>
    <w:p w:rsidR="00CC5326" w:rsidRDefault="00CC5326" w:rsidP="00F005CD">
      <w:pPr>
        <w:spacing w:after="160" w:line="254" w:lineRule="auto"/>
        <w:rPr>
          <w:rFonts w:ascii="Calibri" w:hAnsi="Calibri"/>
          <w:spacing w:val="3"/>
        </w:rPr>
      </w:pPr>
      <w:r>
        <w:rPr>
          <w:rFonts w:ascii="Calibri" w:hAnsi="Calibri"/>
          <w:spacing w:val="3"/>
        </w:rPr>
        <w:t xml:space="preserve">Jan Kwiecień </w:t>
      </w:r>
    </w:p>
    <w:p w:rsidR="00CC5326" w:rsidRDefault="00CC5326" w:rsidP="00F005CD">
      <w:pPr>
        <w:spacing w:after="160" w:line="254" w:lineRule="auto"/>
        <w:rPr>
          <w:rFonts w:ascii="Calibri" w:hAnsi="Calibri"/>
        </w:rPr>
      </w:pPr>
      <w:r>
        <w:rPr>
          <w:rFonts w:ascii="Calibri" w:hAnsi="Calibri"/>
          <w:spacing w:val="3"/>
        </w:rPr>
        <w:t>Sekretarz Gminy</w:t>
      </w:r>
    </w:p>
    <w:p w:rsidR="00F005CD" w:rsidRPr="00F005CD" w:rsidRDefault="00F005CD" w:rsidP="00F005CD">
      <w:pPr>
        <w:spacing w:after="120"/>
        <w:ind w:right="540"/>
        <w:jc w:val="both"/>
        <w:rPr>
          <w:rFonts w:ascii="Calibri" w:hAnsi="Calibri"/>
        </w:rPr>
      </w:pPr>
    </w:p>
    <w:p w:rsidR="00F005CD" w:rsidRDefault="00F005CD" w:rsidP="00BB4A23">
      <w:pPr>
        <w:spacing w:after="160"/>
        <w:ind w:right="540"/>
        <w:jc w:val="both"/>
        <w:rPr>
          <w:rFonts w:ascii="Calibri" w:hAnsi="Calibri"/>
        </w:rPr>
      </w:pPr>
    </w:p>
    <w:p w:rsidR="00BB4A23" w:rsidRDefault="00BB4A23" w:rsidP="00BB4A23">
      <w:pPr>
        <w:spacing w:after="160"/>
        <w:ind w:right="540"/>
        <w:jc w:val="both"/>
        <w:rPr>
          <w:rFonts w:ascii="Calibri" w:hAnsi="Calibri"/>
        </w:rPr>
      </w:pPr>
    </w:p>
    <w:p w:rsidR="00BB4A23" w:rsidRDefault="00BB4A23" w:rsidP="00BB4A23">
      <w:pPr>
        <w:spacing w:after="120"/>
        <w:ind w:right="540"/>
        <w:jc w:val="both"/>
        <w:rPr>
          <w:rFonts w:ascii="Calibri" w:hAnsi="Calibri"/>
        </w:rPr>
      </w:pPr>
    </w:p>
    <w:p w:rsidR="00BB4A23" w:rsidRPr="00BB4A23" w:rsidRDefault="00BB4A23" w:rsidP="00BB4A23">
      <w:pPr>
        <w:spacing w:after="120" w:line="254" w:lineRule="atLeast"/>
        <w:ind w:right="540"/>
        <w:jc w:val="both"/>
        <w:rPr>
          <w:rFonts w:ascii="Calibri" w:hAnsi="Calibri"/>
        </w:rPr>
      </w:pPr>
    </w:p>
    <w:p w:rsidR="00BB4A23" w:rsidRPr="00BB4A23" w:rsidRDefault="00BB4A23" w:rsidP="00BB4A23">
      <w:pPr>
        <w:spacing w:after="120" w:line="254" w:lineRule="atLeast"/>
        <w:ind w:right="540"/>
        <w:jc w:val="both"/>
        <w:rPr>
          <w:rFonts w:ascii="Calibri" w:hAnsi="Calibri"/>
        </w:rPr>
      </w:pPr>
    </w:p>
    <w:p w:rsidR="00CD002A" w:rsidRPr="00CD002A" w:rsidRDefault="00CD002A" w:rsidP="00CD002A">
      <w:pPr>
        <w:spacing w:after="120" w:line="254" w:lineRule="atLeast"/>
        <w:ind w:right="540"/>
        <w:jc w:val="both"/>
        <w:rPr>
          <w:rFonts w:ascii="Calibri" w:hAnsi="Calibri"/>
        </w:rPr>
      </w:pPr>
    </w:p>
    <w:p w:rsidR="00CD002A" w:rsidRPr="00CD002A" w:rsidRDefault="00CD002A" w:rsidP="00CD002A">
      <w:pPr>
        <w:spacing w:after="120" w:line="254" w:lineRule="atLeast"/>
        <w:ind w:right="540"/>
        <w:jc w:val="both"/>
        <w:rPr>
          <w:rFonts w:ascii="Calibri" w:hAnsi="Calibri"/>
        </w:rPr>
      </w:pPr>
    </w:p>
    <w:p w:rsidR="00CD002A" w:rsidRPr="00CD002A" w:rsidRDefault="00CD002A" w:rsidP="00CD002A">
      <w:pPr>
        <w:spacing w:after="120" w:line="254" w:lineRule="atLeast"/>
        <w:ind w:right="540"/>
        <w:jc w:val="both"/>
        <w:rPr>
          <w:rFonts w:ascii="Calibri" w:hAnsi="Calibri"/>
        </w:rPr>
      </w:pPr>
    </w:p>
    <w:p w:rsidR="00CD002A" w:rsidRPr="00CD002A" w:rsidRDefault="00CD002A" w:rsidP="00CD002A">
      <w:pPr>
        <w:spacing w:after="120" w:line="254" w:lineRule="atLeast"/>
        <w:ind w:right="540"/>
        <w:jc w:val="both"/>
        <w:rPr>
          <w:rFonts w:ascii="Calibri" w:hAnsi="Calibri"/>
        </w:rPr>
      </w:pPr>
    </w:p>
    <w:p w:rsidR="00CD002A" w:rsidRPr="00CD002A" w:rsidRDefault="00CD002A" w:rsidP="00CD002A">
      <w:pPr>
        <w:spacing w:after="120" w:line="254" w:lineRule="atLeast"/>
        <w:ind w:right="540"/>
        <w:jc w:val="both"/>
        <w:rPr>
          <w:rFonts w:ascii="Calibri" w:hAnsi="Calibri"/>
        </w:rPr>
      </w:pPr>
    </w:p>
    <w:p w:rsidR="00CD002A" w:rsidRPr="00CD002A" w:rsidRDefault="00CD002A" w:rsidP="00CD002A">
      <w:pPr>
        <w:spacing w:after="120" w:line="254" w:lineRule="atLeast"/>
        <w:ind w:right="540"/>
        <w:jc w:val="both"/>
        <w:rPr>
          <w:rFonts w:ascii="Calibri" w:hAnsi="Calibri"/>
        </w:rPr>
      </w:pPr>
    </w:p>
    <w:p w:rsidR="00332FD1" w:rsidRDefault="00332FD1" w:rsidP="00CD002A">
      <w:pPr>
        <w:pStyle w:val="Akapitzlist"/>
        <w:rPr>
          <w:color w:val="000000" w:themeColor="text1"/>
        </w:rPr>
      </w:pPr>
    </w:p>
    <w:p w:rsidR="00332FD1" w:rsidRPr="00332FD1" w:rsidRDefault="00332FD1" w:rsidP="00332FD1">
      <w:pPr>
        <w:rPr>
          <w:color w:val="000000" w:themeColor="text1"/>
        </w:rPr>
      </w:pPr>
    </w:p>
    <w:p w:rsidR="002333E6" w:rsidRPr="00332FD1" w:rsidRDefault="002333E6" w:rsidP="00332FD1">
      <w:pPr>
        <w:rPr>
          <w:color w:val="000000" w:themeColor="text1"/>
        </w:rPr>
      </w:pPr>
    </w:p>
    <w:p w:rsidR="00DC5C86" w:rsidRPr="00DC5C86" w:rsidRDefault="00DC5C86"/>
    <w:sectPr w:rsidR="00DC5C86" w:rsidRPr="00DC5C86" w:rsidSect="00486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51F15"/>
    <w:multiLevelType w:val="hybridMultilevel"/>
    <w:tmpl w:val="8AF09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C5C86"/>
    <w:rsid w:val="000F54D6"/>
    <w:rsid w:val="00107917"/>
    <w:rsid w:val="001725E3"/>
    <w:rsid w:val="002333E6"/>
    <w:rsid w:val="00264896"/>
    <w:rsid w:val="00276BE5"/>
    <w:rsid w:val="002D28FF"/>
    <w:rsid w:val="00332FD1"/>
    <w:rsid w:val="004868AF"/>
    <w:rsid w:val="0080107F"/>
    <w:rsid w:val="008231C6"/>
    <w:rsid w:val="00A02A73"/>
    <w:rsid w:val="00A601EF"/>
    <w:rsid w:val="00AA4259"/>
    <w:rsid w:val="00B97EB2"/>
    <w:rsid w:val="00BB4A23"/>
    <w:rsid w:val="00CC5326"/>
    <w:rsid w:val="00CD002A"/>
    <w:rsid w:val="00DC5C86"/>
    <w:rsid w:val="00DE0B36"/>
    <w:rsid w:val="00E83D7B"/>
    <w:rsid w:val="00F005CD"/>
    <w:rsid w:val="00FB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8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8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10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iodo.gov.pl/pl/222/99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zamosc.bip.lubelskie.pl/index.php?id=192" TargetMode="External"/><Relationship Id="rId5" Type="http://schemas.openxmlformats.org/officeDocument/2006/relationships/hyperlink" Target="mailto:informatyk@sosnow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B3</dc:creator>
  <cp:lastModifiedBy>Marzena B2</cp:lastModifiedBy>
  <cp:revision>2</cp:revision>
  <dcterms:created xsi:type="dcterms:W3CDTF">2021-01-18T08:35:00Z</dcterms:created>
  <dcterms:modified xsi:type="dcterms:W3CDTF">2021-01-18T08:35:00Z</dcterms:modified>
</cp:coreProperties>
</file>